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8" w:rsidRPr="00745025" w:rsidRDefault="009F1A3F" w:rsidP="00745025">
      <w:pPr>
        <w:pStyle w:val="c7"/>
        <w:spacing w:before="0" w:beforeAutospacing="0" w:after="0" w:afterAutospacing="0" w:line="276" w:lineRule="auto"/>
        <w:jc w:val="center"/>
        <w:rPr>
          <w:rFonts w:ascii="PT Astra Serif" w:hAnsi="PT Astra Serif"/>
          <w:b/>
          <w:color w:val="FF0000"/>
          <w:sz w:val="36"/>
          <w:szCs w:val="36"/>
        </w:rPr>
      </w:pPr>
      <w:r w:rsidRPr="00745025">
        <w:rPr>
          <w:rFonts w:ascii="PT Astra Serif" w:hAnsi="PT Astra Serif"/>
          <w:b/>
          <w:color w:val="FF0000"/>
          <w:sz w:val="36"/>
          <w:szCs w:val="36"/>
        </w:rPr>
        <w:t>Причины уходов</w:t>
      </w:r>
    </w:p>
    <w:p w:rsidR="00401876" w:rsidRDefault="009F1A3F" w:rsidP="009F1A3F">
      <w:pPr>
        <w:spacing w:after="0"/>
        <w:jc w:val="center"/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  <w:t xml:space="preserve">Чаще всего поводом уйти из дома становится </w:t>
      </w:r>
      <w:r w:rsidRPr="00745025">
        <w:rPr>
          <w:rStyle w:val="c5"/>
          <w:rFonts w:ascii="PT Astra Serif" w:hAnsi="PT Astra Serif"/>
          <w:b/>
          <w:color w:val="FF0000"/>
          <w:sz w:val="28"/>
          <w:szCs w:val="28"/>
        </w:rPr>
        <w:t>конфликт</w:t>
      </w:r>
      <w:r w:rsidRPr="00787DD2"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  <w:t>, в основе которого лежит отсутствие, взаимопонимания с родителями.</w:t>
      </w:r>
    </w:p>
    <w:p w:rsidR="00745025" w:rsidRPr="00787DD2" w:rsidRDefault="00745025" w:rsidP="009F1A3F">
      <w:pPr>
        <w:spacing w:after="0"/>
        <w:jc w:val="center"/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</w:pPr>
      <w:r>
        <w:rPr>
          <w:rFonts w:ascii="PT Astra Serif" w:hAnsi="PT Astra Serif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208526" cy="2174049"/>
            <wp:effectExtent l="19050" t="0" r="0" b="0"/>
            <wp:docPr id="13" name="Рисунок 7" descr="C:\Users\Klochkova_KA\Desktop\Швецова Н.П\ЗОЖ буклеты\памятка сторона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ochkova_KA\Desktop\Швецова Н.П\ЗОЖ буклеты\памятка сторона 2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89" cy="218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3F" w:rsidRDefault="009F1A3F" w:rsidP="009F1A3F">
      <w:pPr>
        <w:spacing w:after="0"/>
        <w:jc w:val="center"/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  <w:t>Дети бегут из дома, протестуя против невыносимых условий, которые мы им создаем, не желая считаться с мнением</w:t>
      </w:r>
      <w:r w:rsidR="007C346C" w:rsidRPr="00787DD2"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  <w:t xml:space="preserve"> ребенка.</w:t>
      </w:r>
    </w:p>
    <w:p w:rsidR="003977EB" w:rsidRDefault="003977EB" w:rsidP="009F1A3F">
      <w:pPr>
        <w:spacing w:after="0"/>
        <w:jc w:val="center"/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</w:pPr>
      <w:r>
        <w:rPr>
          <w:rFonts w:ascii="PT Astra Serif" w:hAnsi="PT Astra Serif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2793188" cy="2503815"/>
            <wp:effectExtent l="19050" t="0" r="7162" b="0"/>
            <wp:docPr id="15" name="Рисунок 11" descr="C:\Users\Klochkova_KA\Desktop\Швецова Н.П\ЗОЖ буклеты\памятка сторона 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ochkova_KA\Desktop\Швецова Н.П\ЗОЖ буклеты\памятка сторона 2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88" cy="250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6C" w:rsidRDefault="007C346C" w:rsidP="009F1A3F">
      <w:pPr>
        <w:spacing w:after="0"/>
        <w:jc w:val="center"/>
        <w:rPr>
          <w:rStyle w:val="c5"/>
          <w:rFonts w:ascii="PT Astra Serif" w:hAnsi="PT Astra Serif"/>
          <w:b/>
          <w:color w:val="17365D" w:themeColor="text2" w:themeShade="BF"/>
          <w:sz w:val="28"/>
          <w:szCs w:val="28"/>
        </w:rPr>
      </w:pPr>
      <w:r w:rsidRPr="00745025">
        <w:rPr>
          <w:rStyle w:val="c5"/>
          <w:rFonts w:ascii="PT Astra Serif" w:hAnsi="PT Astra Serif"/>
          <w:b/>
          <w:color w:val="17365D" w:themeColor="text2" w:themeShade="BF"/>
          <w:sz w:val="28"/>
          <w:szCs w:val="28"/>
        </w:rPr>
        <w:lastRenderedPageBreak/>
        <w:t>Другая причина ухода дочери или сына</w:t>
      </w:r>
      <w:r w:rsidR="002C5135" w:rsidRPr="00745025">
        <w:rPr>
          <w:rStyle w:val="c5"/>
          <w:rFonts w:ascii="PT Astra Serif" w:hAnsi="PT Astra Serif"/>
          <w:b/>
          <w:color w:val="17365D" w:themeColor="text2" w:themeShade="BF"/>
          <w:sz w:val="28"/>
          <w:szCs w:val="28"/>
        </w:rPr>
        <w:t xml:space="preserve"> от родителей – </w:t>
      </w:r>
      <w:r w:rsidR="002C5135" w:rsidRPr="00745025">
        <w:rPr>
          <w:rStyle w:val="c5"/>
          <w:rFonts w:ascii="PT Astra Serif" w:hAnsi="PT Astra Serif"/>
          <w:b/>
          <w:color w:val="FF0000"/>
          <w:sz w:val="28"/>
          <w:szCs w:val="28"/>
        </w:rPr>
        <w:t>несправедливое наказание</w:t>
      </w:r>
      <w:r w:rsidR="002C5135" w:rsidRPr="00745025">
        <w:rPr>
          <w:rStyle w:val="c5"/>
          <w:rFonts w:ascii="PT Astra Serif" w:hAnsi="PT Astra Serif"/>
          <w:b/>
          <w:color w:val="17365D" w:themeColor="text2" w:themeShade="BF"/>
          <w:sz w:val="28"/>
          <w:szCs w:val="28"/>
        </w:rPr>
        <w:t>, неадекватное поступку.</w:t>
      </w:r>
    </w:p>
    <w:p w:rsidR="00745025" w:rsidRPr="00745025" w:rsidRDefault="00745025" w:rsidP="009F1A3F">
      <w:pPr>
        <w:spacing w:after="0"/>
        <w:jc w:val="center"/>
        <w:rPr>
          <w:rStyle w:val="c5"/>
          <w:rFonts w:ascii="PT Astra Serif" w:hAnsi="PT Astra Serif"/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3297214" cy="3615070"/>
            <wp:effectExtent l="19050" t="0" r="0" b="0"/>
            <wp:docPr id="14" name="Рисунок 8" descr="C:\Users\Klochkova_KA\AppData\Local\Microsoft\Windows\Temporary Internet Files\Content.Word\памятка сторона 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ochkova_KA\AppData\Local\Microsoft\Windows\Temporary Internet Files\Content.Word\памятка сторона 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32" cy="36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35" w:rsidRPr="00787DD2" w:rsidRDefault="002C5135" w:rsidP="009F1A3F">
      <w:pPr>
        <w:spacing w:after="0"/>
        <w:jc w:val="center"/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8"/>
          <w:szCs w:val="28"/>
        </w:rPr>
        <w:t>Обида вскоре забывается, и подросток готов вернуться, но он боится наказания, которое непременно последует. Так круг замыкается. Ребенок бежит от наказания и боится возвращаться из-за него же. То есть, выхода у него нет, и он остается наедине, пока не попадется на преступлении или не станет жертвой преступника.</w:t>
      </w:r>
    </w:p>
    <w:p w:rsidR="002C5135" w:rsidRPr="00961505" w:rsidRDefault="002C5135" w:rsidP="00961505">
      <w:pPr>
        <w:spacing w:after="0" w:line="240" w:lineRule="auto"/>
        <w:jc w:val="center"/>
        <w:rPr>
          <w:rStyle w:val="c5"/>
          <w:rFonts w:ascii="PT Astra Serif" w:hAnsi="PT Astra Serif"/>
          <w:b/>
          <w:color w:val="00B050"/>
          <w:sz w:val="32"/>
          <w:szCs w:val="32"/>
        </w:rPr>
      </w:pPr>
      <w:r w:rsidRPr="00961505">
        <w:rPr>
          <w:rStyle w:val="c5"/>
          <w:rFonts w:ascii="PT Astra Serif" w:hAnsi="PT Astra Serif"/>
          <w:b/>
          <w:color w:val="00B050"/>
          <w:sz w:val="32"/>
          <w:szCs w:val="32"/>
        </w:rPr>
        <w:lastRenderedPageBreak/>
        <w:t>Советы о том, как избежать ухода ребенка из дома</w:t>
      </w:r>
    </w:p>
    <w:p w:rsidR="002C5135" w:rsidRDefault="002C5135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>Организуйте свободное время ребенка так, чтобы ему представилась возможность удовлетворять свое любопытство через исследование окружающего.</w:t>
      </w:r>
    </w:p>
    <w:p w:rsidR="00745025" w:rsidRPr="00787DD2" w:rsidRDefault="00745025" w:rsidP="00961505">
      <w:pPr>
        <w:pStyle w:val="a7"/>
        <w:spacing w:after="0" w:line="240" w:lineRule="auto"/>
        <w:ind w:left="714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</w:p>
    <w:p w:rsidR="002C5135" w:rsidRDefault="002C5135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>Развивайте в подростке уверенность, положительное отношение к себе, приятие своих качеств, особенностей.</w:t>
      </w:r>
    </w:p>
    <w:p w:rsidR="00745025" w:rsidRPr="00787DD2" w:rsidRDefault="00745025" w:rsidP="00961505">
      <w:pPr>
        <w:pStyle w:val="a7"/>
        <w:spacing w:after="0" w:line="240" w:lineRule="auto"/>
        <w:ind w:left="714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</w:p>
    <w:p w:rsidR="002C5135" w:rsidRDefault="002C5135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>Научите ребенка самоанализу своих желаний и выборов: «Для чего я это делаю?».</w:t>
      </w:r>
    </w:p>
    <w:p w:rsidR="00961505" w:rsidRPr="00961505" w:rsidRDefault="00961505" w:rsidP="00961505">
      <w:pPr>
        <w:pStyle w:val="a7"/>
        <w:spacing w:after="0" w:line="240" w:lineRule="auto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</w:p>
    <w:p w:rsidR="002C5135" w:rsidRDefault="002C5135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>Научите подростка не агрессивному и в то же уверенному отстаиванию своего мнения, умению сказать нет.</w:t>
      </w:r>
    </w:p>
    <w:p w:rsidR="00961505" w:rsidRPr="00961505" w:rsidRDefault="00961505" w:rsidP="00961505">
      <w:pPr>
        <w:pStyle w:val="a7"/>
        <w:spacing w:after="0" w:line="240" w:lineRule="auto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</w:p>
    <w:p w:rsidR="00787DD2" w:rsidRDefault="00787DD2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>Поддержите подростка при переживании им горя, разочарования в любви.</w:t>
      </w:r>
    </w:p>
    <w:p w:rsidR="00961505" w:rsidRPr="00961505" w:rsidRDefault="00961505" w:rsidP="00961505">
      <w:pPr>
        <w:pStyle w:val="a7"/>
        <w:spacing w:after="0" w:line="240" w:lineRule="auto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</w:p>
    <w:p w:rsidR="002C5135" w:rsidRDefault="00787DD2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>Если кто-то жалуется на поведение вашего сына или дочери, не спешите сразу наказывать детей, выясните мотивы их поступков.</w:t>
      </w:r>
      <w:r w:rsidR="002C5135"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 xml:space="preserve"> </w:t>
      </w:r>
    </w:p>
    <w:p w:rsidR="00961505" w:rsidRPr="00961505" w:rsidRDefault="00961505" w:rsidP="00961505">
      <w:pPr>
        <w:pStyle w:val="a7"/>
        <w:spacing w:after="0" w:line="240" w:lineRule="auto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</w:p>
    <w:p w:rsidR="00787DD2" w:rsidRPr="00787DD2" w:rsidRDefault="00787DD2" w:rsidP="00961505">
      <w:pPr>
        <w:pStyle w:val="a7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</w:pP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 xml:space="preserve">Объяснить ребенку о возможностях бесплатного анонимного телефона доверия </w:t>
      </w:r>
      <w:r w:rsidRPr="00961505">
        <w:rPr>
          <w:rStyle w:val="c5"/>
          <w:rFonts w:ascii="PT Astra Serif" w:hAnsi="PT Astra Serif"/>
          <w:b/>
          <w:color w:val="00B050"/>
          <w:sz w:val="26"/>
          <w:szCs w:val="26"/>
        </w:rPr>
        <w:t>(8-800-2000-122)</w:t>
      </w:r>
      <w:r w:rsidRPr="00787DD2">
        <w:rPr>
          <w:rStyle w:val="c5"/>
          <w:rFonts w:ascii="PT Astra Serif" w:hAnsi="PT Astra Serif"/>
          <w:color w:val="17365D" w:themeColor="text2" w:themeShade="BF"/>
          <w:sz w:val="26"/>
          <w:szCs w:val="26"/>
        </w:rPr>
        <w:t xml:space="preserve"> позвонив по которому психологи обязательно помогут разрешить проблемы и родителям, и детям.</w:t>
      </w:r>
    </w:p>
    <w:p w:rsidR="00E451CE" w:rsidRPr="00745025" w:rsidRDefault="00121FDC" w:rsidP="00121FDC">
      <w:pPr>
        <w:spacing w:after="0" w:line="240" w:lineRule="auto"/>
        <w:jc w:val="center"/>
        <w:rPr>
          <w:rFonts w:ascii="PT Astra Serif" w:hAnsi="PT Astra Serif"/>
          <w:b/>
          <w:noProof/>
          <w:color w:val="00B050"/>
          <w:sz w:val="32"/>
          <w:szCs w:val="32"/>
        </w:rPr>
      </w:pPr>
      <w:r w:rsidRPr="00745025">
        <w:rPr>
          <w:rFonts w:ascii="PT Astra Serif" w:hAnsi="PT Astra Serif"/>
          <w:b/>
          <w:noProof/>
          <w:color w:val="00B050"/>
          <w:sz w:val="32"/>
          <w:szCs w:val="32"/>
        </w:rPr>
        <w:lastRenderedPageBreak/>
        <w:t>Что могут сделать родители, чтобы предупредить ситуацию уходов детей из дома</w:t>
      </w:r>
    </w:p>
    <w:p w:rsidR="00121FDC" w:rsidRDefault="00121FDC" w:rsidP="00121FDC">
      <w:pPr>
        <w:spacing w:after="0" w:line="240" w:lineRule="auto"/>
        <w:jc w:val="center"/>
        <w:rPr>
          <w:rFonts w:ascii="PT Astra Serif" w:hAnsi="PT Astra Serif"/>
          <w:noProof/>
          <w:color w:val="17365D" w:themeColor="text2" w:themeShade="BF"/>
          <w:sz w:val="28"/>
          <w:szCs w:val="28"/>
        </w:rPr>
      </w:pPr>
      <w:r w:rsidRPr="00934A4C">
        <w:rPr>
          <w:rFonts w:ascii="PT Astra Serif" w:hAnsi="PT Astra Serif"/>
          <w:noProof/>
          <w:color w:val="17365D" w:themeColor="text2" w:themeShade="BF"/>
          <w:sz w:val="28"/>
          <w:szCs w:val="28"/>
        </w:rPr>
        <w:t>Осознание факта, что ваш сын или дочь – уже не ребенок</w:t>
      </w:r>
      <w:r w:rsidR="00934A4C">
        <w:rPr>
          <w:rFonts w:ascii="PT Astra Serif" w:hAnsi="PT Astra Serif"/>
          <w:noProof/>
          <w:color w:val="17365D" w:themeColor="text2" w:themeShade="BF"/>
          <w:sz w:val="28"/>
          <w:szCs w:val="28"/>
        </w:rPr>
        <w:t>, и требует, чтобы и отношения с ним были партнёрские.</w:t>
      </w:r>
    </w:p>
    <w:p w:rsidR="00745025" w:rsidRDefault="00745025" w:rsidP="00121FDC">
      <w:pPr>
        <w:spacing w:after="0" w:line="240" w:lineRule="auto"/>
        <w:jc w:val="center"/>
        <w:rPr>
          <w:rFonts w:ascii="PT Astra Serif" w:hAnsi="PT Astra Serif"/>
          <w:noProof/>
          <w:color w:val="17365D" w:themeColor="text2" w:themeShade="BF"/>
          <w:sz w:val="28"/>
          <w:szCs w:val="28"/>
        </w:rPr>
      </w:pPr>
      <w:r>
        <w:rPr>
          <w:rFonts w:ascii="PT Astra Serif" w:hAnsi="PT Astra Serif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305455" cy="2302726"/>
            <wp:effectExtent l="19050" t="0" r="9245" b="0"/>
            <wp:docPr id="12" name="Рисунок 6" descr="C:\Users\Klochkova_KA\Desktop\Швецова Н.П\ЗОЖ буклеты\памятка-сторона-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ochkova_KA\Desktop\Швецова Н.П\ЗОЖ буклеты\памятка-сторона-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71" cy="23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05" w:rsidRDefault="00961505" w:rsidP="00D47102">
      <w:pPr>
        <w:spacing w:after="0" w:line="240" w:lineRule="auto"/>
        <w:jc w:val="center"/>
        <w:rPr>
          <w:rFonts w:ascii="PT Astra Serif" w:hAnsi="PT Astra Serif"/>
          <w:noProof/>
          <w:color w:val="17365D" w:themeColor="text2" w:themeShade="BF"/>
          <w:sz w:val="28"/>
          <w:szCs w:val="28"/>
        </w:rPr>
      </w:pPr>
    </w:p>
    <w:p w:rsidR="00401876" w:rsidRDefault="00745025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  <w:r>
        <w:rPr>
          <w:rFonts w:ascii="PT Astra Serif" w:hAnsi="PT Astra Serif"/>
          <w:noProof/>
          <w:color w:val="17365D" w:themeColor="text2" w:themeShade="BF"/>
          <w:sz w:val="28"/>
          <w:szCs w:val="28"/>
        </w:rPr>
        <w:t>О</w:t>
      </w:r>
      <w:r w:rsidR="00934A4C">
        <w:rPr>
          <w:rFonts w:ascii="PT Astra Serif" w:hAnsi="PT Astra Serif"/>
          <w:noProof/>
          <w:color w:val="17365D" w:themeColor="text2" w:themeShade="BF"/>
          <w:sz w:val="28"/>
          <w:szCs w:val="28"/>
        </w:rPr>
        <w:t xml:space="preserve">бщение со сверстниками необходимо </w:t>
      </w:r>
      <w:r w:rsidR="00934A4C" w:rsidRPr="00934A4C">
        <w:rPr>
          <w:rFonts w:ascii="PT Astra Serif" w:hAnsi="PT Astra Serif"/>
          <w:noProof/>
          <w:color w:val="17365D" w:themeColor="text2" w:themeShade="BF"/>
          <w:sz w:val="28"/>
          <w:szCs w:val="28"/>
        </w:rPr>
        <w:t>подросткам</w:t>
      </w:r>
      <w:r w:rsidR="00934A4C" w:rsidRPr="00934A4C">
        <w:rPr>
          <w:rFonts w:ascii="PT Astra Serif" w:hAnsi="PT Astra Serif"/>
          <w:noProof/>
          <w:color w:val="002060"/>
          <w:sz w:val="28"/>
          <w:szCs w:val="28"/>
        </w:rPr>
        <w:t xml:space="preserve"> и они чувствуют</w:t>
      </w:r>
      <w:r w:rsidR="00934A4C" w:rsidRPr="007F1965">
        <w:rPr>
          <w:rFonts w:ascii="PT Astra Serif" w:hAnsi="PT Astra Serif"/>
          <w:noProof/>
          <w:color w:val="002060"/>
          <w:sz w:val="28"/>
          <w:szCs w:val="28"/>
        </w:rPr>
        <w:t xml:space="preserve"> себя</w:t>
      </w:r>
      <w:r w:rsidR="007F1965">
        <w:rPr>
          <w:rFonts w:ascii="PT Astra Serif" w:hAnsi="PT Astra Serif"/>
          <w:b/>
          <w:noProof/>
          <w:color w:val="002060"/>
          <w:sz w:val="32"/>
          <w:szCs w:val="32"/>
        </w:rPr>
        <w:t xml:space="preserve"> </w:t>
      </w:r>
      <w:r w:rsidR="007F1965" w:rsidRPr="007F1965">
        <w:rPr>
          <w:rFonts w:ascii="PT Astra Serif" w:hAnsi="PT Astra Serif"/>
          <w:noProof/>
          <w:color w:val="002060"/>
          <w:sz w:val="28"/>
          <w:szCs w:val="28"/>
        </w:rPr>
        <w:t>неполноценными, если это стремление остается нереализованным. Очень важно, чтобы у детей была возможность встречаться с друзьями дома. Итогда дом для детей станет самым притягательным местом.</w:t>
      </w:r>
    </w:p>
    <w:p w:rsidR="007F1965" w:rsidRDefault="007F1965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7F1965" w:rsidRDefault="007F1965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  <w:r w:rsidRPr="007F1965">
        <w:rPr>
          <w:rFonts w:ascii="PT Astra Serif" w:hAnsi="PT Astra Serif"/>
          <w:noProof/>
          <w:color w:val="002060"/>
          <w:sz w:val="28"/>
          <w:szCs w:val="28"/>
        </w:rPr>
        <w:t>Никогда не угрожайте подростку, что выгоняете его из дома, если он сделает что-то не так.Подросток воспринимает угрозы как руководство к действию.</w:t>
      </w:r>
    </w:p>
    <w:p w:rsidR="00961505" w:rsidRDefault="00961505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</w:p>
    <w:p w:rsidR="007F1965" w:rsidRDefault="007F1965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  <w:r>
        <w:rPr>
          <w:rFonts w:ascii="PT Astra Serif" w:hAnsi="PT Astra Serif"/>
          <w:noProof/>
          <w:color w:val="002060"/>
          <w:sz w:val="28"/>
          <w:szCs w:val="28"/>
        </w:rPr>
        <w:lastRenderedPageBreak/>
        <w:t>Старайтесь вместе решать, как проводить досуг. Если своюодное время заполнить интересными и полезными занятиями, многие проблемы будут решены.</w:t>
      </w:r>
    </w:p>
    <w:p w:rsidR="00745025" w:rsidRDefault="00745025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</w:p>
    <w:p w:rsidR="00946E13" w:rsidRDefault="00946E13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  <w:r>
        <w:rPr>
          <w:rFonts w:ascii="PT Astra Serif" w:hAnsi="PT Astra Serif"/>
          <w:noProof/>
          <w:color w:val="002060"/>
          <w:sz w:val="28"/>
          <w:szCs w:val="28"/>
        </w:rPr>
        <w:drawing>
          <wp:inline distT="0" distB="0" distL="0" distR="0">
            <wp:extent cx="3221665" cy="2112602"/>
            <wp:effectExtent l="19050" t="0" r="0" b="0"/>
            <wp:docPr id="11" name="Рисунок 5" descr="C:\Users\Klochkova_KA\Desktop\Швецова Н.П\ЗОЖ буклеты\памятка-сторона-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ochkova_KA\Desktop\Швецова Н.П\ЗОЖ буклеты\памятка-сторона-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02" cy="211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25" w:rsidRDefault="00745025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</w:p>
    <w:p w:rsidR="007F1965" w:rsidRDefault="007F1965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  <w:r>
        <w:rPr>
          <w:rFonts w:ascii="PT Astra Serif" w:hAnsi="PT Astra Serif"/>
          <w:noProof/>
          <w:color w:val="002060"/>
          <w:sz w:val="28"/>
          <w:szCs w:val="28"/>
        </w:rPr>
        <w:t>Старайтесь принимать любые откровения сына или дочери как признак огромного доверия к вам. Ни в коем случае не высказывайте к атегорических</w:t>
      </w:r>
      <w:r w:rsidR="00946E13">
        <w:rPr>
          <w:rFonts w:ascii="PT Astra Serif" w:hAnsi="PT Astra Serif"/>
          <w:noProof/>
          <w:color w:val="002060"/>
          <w:sz w:val="28"/>
          <w:szCs w:val="28"/>
        </w:rPr>
        <w:t xml:space="preserve"> суждений в его адрес.</w:t>
      </w:r>
    </w:p>
    <w:p w:rsidR="00946E13" w:rsidRDefault="00946E13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</w:p>
    <w:p w:rsidR="00946E13" w:rsidRPr="007F1965" w:rsidRDefault="00946E13" w:rsidP="00D47102">
      <w:pPr>
        <w:spacing w:after="0" w:line="240" w:lineRule="auto"/>
        <w:jc w:val="center"/>
        <w:rPr>
          <w:rFonts w:ascii="PT Astra Serif" w:hAnsi="PT Astra Serif"/>
          <w:noProof/>
          <w:color w:val="002060"/>
          <w:sz w:val="28"/>
          <w:szCs w:val="28"/>
        </w:rPr>
      </w:pPr>
      <w:r>
        <w:rPr>
          <w:rFonts w:ascii="PT Astra Serif" w:hAnsi="PT Astra Serif"/>
          <w:noProof/>
          <w:color w:val="002060"/>
          <w:sz w:val="28"/>
          <w:szCs w:val="28"/>
        </w:rPr>
        <w:t>Не отбивайте у подростка желание советоваться с вами.</w:t>
      </w:r>
    </w:p>
    <w:p w:rsidR="00946E13" w:rsidRDefault="00946E13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</w:pPr>
    </w:p>
    <w:p w:rsidR="00D47102" w:rsidRPr="00961505" w:rsidRDefault="00121FDC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17365D" w:themeColor="text2" w:themeShade="BF"/>
          <w:sz w:val="32"/>
          <w:szCs w:val="32"/>
        </w:rPr>
      </w:pPr>
      <w:r w:rsidRPr="00961505">
        <w:rPr>
          <w:rFonts w:ascii="PT Astra Serif" w:hAnsi="PT Astra Serif"/>
          <w:b/>
          <w:noProof/>
          <w:color w:val="17365D" w:themeColor="text2" w:themeShade="BF"/>
          <w:sz w:val="32"/>
          <w:szCs w:val="32"/>
        </w:rPr>
        <w:t>ГАУ СО КЦСОН Лысогорского района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Телефон: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8 (845-51) 2-12-12</w:t>
      </w:r>
    </w:p>
    <w:p w:rsidR="00477615" w:rsidRPr="00E451CE" w:rsidRDefault="00477615" w:rsidP="00477615">
      <w:pPr>
        <w:pStyle w:val="a3"/>
        <w:jc w:val="center"/>
        <w:rPr>
          <w:rFonts w:ascii="PT Astra Serif" w:hAnsi="PT Astra Serif"/>
          <w:b/>
          <w:i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Официальный сайт учреждения </w:t>
      </w:r>
      <w:hyperlink r:id="rId11" w:history="1">
        <w:r w:rsidRPr="00E451CE">
          <w:rPr>
            <w:rStyle w:val="a6"/>
            <w:rFonts w:ascii="PT Astra Serif" w:hAnsi="PT Astra Serif"/>
            <w:b/>
            <w:i/>
            <w:sz w:val="28"/>
            <w:szCs w:val="28"/>
            <w:shd w:val="clear" w:color="auto" w:fill="FFFFFF"/>
          </w:rPr>
          <w:t>http://www.lgcsznsar.ru/</w:t>
        </w:r>
      </w:hyperlink>
    </w:p>
    <w:p w:rsidR="00401876" w:rsidRPr="0079130A" w:rsidRDefault="00401876" w:rsidP="0079130A">
      <w:pPr>
        <w:spacing w:after="240" w:line="240" w:lineRule="auto"/>
        <w:jc w:val="center"/>
        <w:rPr>
          <w:rFonts w:ascii="PT Astra Serif" w:hAnsi="PT Astra Serif"/>
          <w:noProof/>
          <w:sz w:val="28"/>
          <w:szCs w:val="28"/>
        </w:rPr>
      </w:pP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lastRenderedPageBreak/>
        <w:t xml:space="preserve">МИНИСТЕРСТВО </w:t>
      </w:r>
      <w:r w:rsidR="006A743A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ТРУДА  </w:t>
      </w:r>
      <w:r w:rsidR="00477615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                         </w:t>
      </w:r>
      <w:r w:rsidR="006A743A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И </w:t>
      </w:r>
      <w:r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>СОЦИАЛЬНО</w:t>
      </w:r>
      <w:r w:rsidR="006A743A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>Й ЗАЩИТЫ</w:t>
      </w:r>
      <w:r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 САРАТОВСКОЙ ОБЛАСТИ</w:t>
      </w: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</w:p>
    <w:p w:rsidR="00E52CA8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0"/>
          <w:szCs w:val="20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ГОСУДАРСТВЕННОЕ АВТОНОМНОЕ УЧРЕЖДЕНИЕ САРАТОВСКОЙ ОБЛАСТИ «</w:t>
      </w:r>
      <w:r w:rsidR="00E52CA8"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КОМПЛЕКСНЫЙ ЦЕНТР СОЦИАЛЬНОГО</w:t>
      </w: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 xml:space="preserve"> </w:t>
      </w:r>
      <w:r w:rsidR="00E52CA8"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ОБСЛУЖИВАНИЯ</w:t>
      </w: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 xml:space="preserve"> НАСЕЛЕНИЯ </w:t>
      </w: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0"/>
          <w:szCs w:val="20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ЛЫСОГОРСКОГО РАЙОНА»</w:t>
      </w:r>
    </w:p>
    <w:p w:rsidR="00121FDC" w:rsidRDefault="00121FDC" w:rsidP="006D44A5">
      <w:pPr>
        <w:spacing w:after="0" w:line="240" w:lineRule="auto"/>
        <w:jc w:val="center"/>
        <w:rPr>
          <w:rFonts w:ascii="PT Astra Serif" w:hAnsi="PT Astra Serif"/>
          <w:b/>
          <w:color w:val="17365D"/>
          <w:sz w:val="52"/>
          <w:szCs w:val="52"/>
        </w:rPr>
      </w:pPr>
    </w:p>
    <w:p w:rsidR="007C68BC" w:rsidRDefault="00E42726" w:rsidP="006D44A5">
      <w:pPr>
        <w:spacing w:after="0" w:line="240" w:lineRule="auto"/>
        <w:jc w:val="center"/>
        <w:rPr>
          <w:rFonts w:ascii="PT Astra Serif" w:hAnsi="PT Astra Serif"/>
          <w:b/>
          <w:color w:val="17365D"/>
          <w:sz w:val="52"/>
          <w:szCs w:val="52"/>
        </w:rPr>
      </w:pPr>
      <w:r>
        <w:rPr>
          <w:rFonts w:ascii="PT Astra Serif" w:hAnsi="PT Astra Serif"/>
          <w:b/>
          <w:color w:val="17365D"/>
          <w:sz w:val="52"/>
          <w:szCs w:val="52"/>
        </w:rPr>
        <w:t>ПАМЯТКА РОДИТЕЛЯМ</w:t>
      </w:r>
    </w:p>
    <w:p w:rsidR="007805B1" w:rsidRPr="00121FDC" w:rsidRDefault="00E42726" w:rsidP="00D47102">
      <w:pPr>
        <w:pStyle w:val="a3"/>
        <w:jc w:val="center"/>
        <w:rPr>
          <w:rStyle w:val="c24"/>
          <w:rFonts w:ascii="PT Astra Serif" w:hAnsi="PT Astra Serif"/>
          <w:b/>
          <w:color w:val="17365D" w:themeColor="text2" w:themeShade="BF"/>
          <w:sz w:val="28"/>
          <w:szCs w:val="28"/>
        </w:rPr>
      </w:pPr>
      <w:r w:rsidRPr="00121FDC">
        <w:rPr>
          <w:rStyle w:val="c24"/>
          <w:rFonts w:ascii="PT Astra Serif" w:hAnsi="PT Astra Serif"/>
          <w:b/>
          <w:color w:val="17365D" w:themeColor="text2" w:themeShade="BF"/>
          <w:sz w:val="28"/>
          <w:szCs w:val="28"/>
        </w:rPr>
        <w:t>При первом уходе ребенка из дома очень важно определить причину произошедшего, решение которой на начальном этапе ещё можно восстановить отношения в семье</w:t>
      </w:r>
    </w:p>
    <w:p w:rsidR="00E42726" w:rsidRPr="00E42726" w:rsidRDefault="00E42726" w:rsidP="00D47102">
      <w:pPr>
        <w:pStyle w:val="a3"/>
        <w:jc w:val="center"/>
        <w:rPr>
          <w:rStyle w:val="c24"/>
          <w:rFonts w:ascii="PT Astra Serif" w:hAnsi="PT Astra Serif"/>
          <w:sz w:val="24"/>
          <w:szCs w:val="24"/>
        </w:rPr>
      </w:pPr>
    </w:p>
    <w:p w:rsidR="007805B1" w:rsidRPr="00E451CE" w:rsidRDefault="00E42726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2148418"/>
            <wp:effectExtent l="19050" t="0" r="5080" b="0"/>
            <wp:docPr id="8" name="Рисунок 1" descr="https://kcso13.eps74.ru/Storage/Image/PublicationItem/Image/src/942/scale_1200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so13.eps74.ru/Storage/Image/PublicationItem/Image/src/942/scale_1200%20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4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AD53A2" w:rsidRPr="00CB69AD" w:rsidRDefault="00C75217" w:rsidP="00D47102">
      <w:pPr>
        <w:pStyle w:val="a3"/>
        <w:jc w:val="center"/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р.п. Лысые Горы</w:t>
      </w:r>
    </w:p>
    <w:p w:rsidR="00686BC9" w:rsidRPr="00E451CE" w:rsidRDefault="00E95A04" w:rsidP="00E42726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20</w:t>
      </w:r>
      <w:r w:rsidR="006A743A"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2</w:t>
      </w:r>
      <w:r w:rsidR="00527335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4</w:t>
      </w:r>
      <w:r w:rsidR="00D47102"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 xml:space="preserve"> г.</w:t>
      </w:r>
    </w:p>
    <w:sectPr w:rsidR="00686BC9" w:rsidRPr="00E451CE" w:rsidSect="00961505">
      <w:pgSz w:w="16838" w:h="11906" w:orient="landscape"/>
      <w:pgMar w:top="426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43A"/>
    <w:multiLevelType w:val="hybridMultilevel"/>
    <w:tmpl w:val="E83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3EB8"/>
    <w:multiLevelType w:val="hybridMultilevel"/>
    <w:tmpl w:val="9BEE9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8E530F"/>
    <w:multiLevelType w:val="hybridMultilevel"/>
    <w:tmpl w:val="7C040E7E"/>
    <w:lvl w:ilvl="0" w:tplc="47AE5A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639"/>
    <w:rsid w:val="00062F2F"/>
    <w:rsid w:val="000677A0"/>
    <w:rsid w:val="00075682"/>
    <w:rsid w:val="00121FDC"/>
    <w:rsid w:val="001354FE"/>
    <w:rsid w:val="001E53AF"/>
    <w:rsid w:val="001F381F"/>
    <w:rsid w:val="00280B54"/>
    <w:rsid w:val="00296647"/>
    <w:rsid w:val="002C5135"/>
    <w:rsid w:val="002F63FD"/>
    <w:rsid w:val="00336C35"/>
    <w:rsid w:val="00336F10"/>
    <w:rsid w:val="003977EB"/>
    <w:rsid w:val="003A522B"/>
    <w:rsid w:val="003C0C1D"/>
    <w:rsid w:val="003C44C1"/>
    <w:rsid w:val="003D0F58"/>
    <w:rsid w:val="003E255C"/>
    <w:rsid w:val="00401876"/>
    <w:rsid w:val="00403FE4"/>
    <w:rsid w:val="00437D10"/>
    <w:rsid w:val="004543DA"/>
    <w:rsid w:val="00477615"/>
    <w:rsid w:val="0049036E"/>
    <w:rsid w:val="004D1740"/>
    <w:rsid w:val="00527335"/>
    <w:rsid w:val="00543A4E"/>
    <w:rsid w:val="005A022B"/>
    <w:rsid w:val="005B12F8"/>
    <w:rsid w:val="005C4D5F"/>
    <w:rsid w:val="005C7234"/>
    <w:rsid w:val="00620137"/>
    <w:rsid w:val="00655F29"/>
    <w:rsid w:val="0066463E"/>
    <w:rsid w:val="00670426"/>
    <w:rsid w:val="00685A30"/>
    <w:rsid w:val="00686BC9"/>
    <w:rsid w:val="006A4806"/>
    <w:rsid w:val="006A743A"/>
    <w:rsid w:val="006D44A5"/>
    <w:rsid w:val="006F402C"/>
    <w:rsid w:val="007252C9"/>
    <w:rsid w:val="007333B4"/>
    <w:rsid w:val="00745025"/>
    <w:rsid w:val="00747D37"/>
    <w:rsid w:val="00756554"/>
    <w:rsid w:val="007805B1"/>
    <w:rsid w:val="00787DD2"/>
    <w:rsid w:val="0079130A"/>
    <w:rsid w:val="007C1A4B"/>
    <w:rsid w:val="007C346C"/>
    <w:rsid w:val="007C68BC"/>
    <w:rsid w:val="007F1965"/>
    <w:rsid w:val="007F3008"/>
    <w:rsid w:val="0082712E"/>
    <w:rsid w:val="00835FB0"/>
    <w:rsid w:val="00916788"/>
    <w:rsid w:val="00934A4C"/>
    <w:rsid w:val="0094070B"/>
    <w:rsid w:val="00946E13"/>
    <w:rsid w:val="00961505"/>
    <w:rsid w:val="009B1154"/>
    <w:rsid w:val="009B3D92"/>
    <w:rsid w:val="009F1A3F"/>
    <w:rsid w:val="00A54722"/>
    <w:rsid w:val="00AC37F7"/>
    <w:rsid w:val="00AD4B0A"/>
    <w:rsid w:val="00AD53A2"/>
    <w:rsid w:val="00B23139"/>
    <w:rsid w:val="00B44517"/>
    <w:rsid w:val="00B54A6E"/>
    <w:rsid w:val="00B56249"/>
    <w:rsid w:val="00B62548"/>
    <w:rsid w:val="00B84631"/>
    <w:rsid w:val="00C75217"/>
    <w:rsid w:val="00C81639"/>
    <w:rsid w:val="00C82F3E"/>
    <w:rsid w:val="00C91ECD"/>
    <w:rsid w:val="00CB69AD"/>
    <w:rsid w:val="00CF5215"/>
    <w:rsid w:val="00D23826"/>
    <w:rsid w:val="00D45797"/>
    <w:rsid w:val="00D47102"/>
    <w:rsid w:val="00D63DB7"/>
    <w:rsid w:val="00D77513"/>
    <w:rsid w:val="00DD33F1"/>
    <w:rsid w:val="00E00F40"/>
    <w:rsid w:val="00E17DCB"/>
    <w:rsid w:val="00E42726"/>
    <w:rsid w:val="00E451CE"/>
    <w:rsid w:val="00E52CA8"/>
    <w:rsid w:val="00E61D02"/>
    <w:rsid w:val="00E62376"/>
    <w:rsid w:val="00E67324"/>
    <w:rsid w:val="00E737C8"/>
    <w:rsid w:val="00E95A04"/>
    <w:rsid w:val="00EC636E"/>
    <w:rsid w:val="00EF795B"/>
    <w:rsid w:val="00F30F60"/>
    <w:rsid w:val="00F9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816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39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81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a"/>
    <w:rsid w:val="00C8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C81639"/>
  </w:style>
  <w:style w:type="character" w:customStyle="1" w:styleId="c15">
    <w:name w:val="c15"/>
    <w:basedOn w:val="a0"/>
    <w:rsid w:val="00C81639"/>
  </w:style>
  <w:style w:type="paragraph" w:customStyle="1" w:styleId="c1">
    <w:name w:val="c1"/>
    <w:basedOn w:val="a"/>
    <w:rsid w:val="00C8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C81639"/>
  </w:style>
  <w:style w:type="character" w:customStyle="1" w:styleId="c11">
    <w:name w:val="c11"/>
    <w:basedOn w:val="a0"/>
    <w:rsid w:val="00C81639"/>
  </w:style>
  <w:style w:type="character" w:customStyle="1" w:styleId="c5">
    <w:name w:val="c5"/>
    <w:basedOn w:val="a0"/>
    <w:rsid w:val="00C81639"/>
  </w:style>
  <w:style w:type="paragraph" w:customStyle="1" w:styleId="c2">
    <w:name w:val="c2"/>
    <w:basedOn w:val="a"/>
    <w:rsid w:val="00C8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C81639"/>
  </w:style>
  <w:style w:type="character" w:customStyle="1" w:styleId="c16">
    <w:name w:val="c16"/>
    <w:basedOn w:val="a0"/>
    <w:rsid w:val="00C81639"/>
  </w:style>
  <w:style w:type="character" w:customStyle="1" w:styleId="c10">
    <w:name w:val="c10"/>
    <w:basedOn w:val="a0"/>
    <w:rsid w:val="00C81639"/>
  </w:style>
  <w:style w:type="character" w:customStyle="1" w:styleId="c24">
    <w:name w:val="c24"/>
    <w:basedOn w:val="a0"/>
    <w:rsid w:val="00C81639"/>
  </w:style>
  <w:style w:type="paragraph" w:styleId="a4">
    <w:name w:val="Balloon Text"/>
    <w:basedOn w:val="a"/>
    <w:link w:val="a5"/>
    <w:uiPriority w:val="99"/>
    <w:semiHidden/>
    <w:unhideWhenUsed/>
    <w:rsid w:val="00AD4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4B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76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gcsznsar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5BC7-11B5-44AF-88CA-2659FB4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СО КЦСОН Лысогрского района</Company>
  <LinksUpToDate>false</LinksUpToDate>
  <CharactersWithSpaces>3060</CharactersWithSpaces>
  <SharedDoc>false</SharedDoc>
  <HLinks>
    <vt:vector size="12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http://www.lgcsznsar.ru/</vt:lpwstr>
      </vt:variant>
      <vt:variant>
        <vt:lpwstr/>
      </vt:variant>
      <vt:variant>
        <vt:i4>4063329</vt:i4>
      </vt:variant>
      <vt:variant>
        <vt:i4>-1</vt:i4>
      </vt:variant>
      <vt:variant>
        <vt:i4>1029</vt:i4>
      </vt:variant>
      <vt:variant>
        <vt:i4>1</vt:i4>
      </vt:variant>
      <vt:variant>
        <vt:lpwstr>https://avatars.mds.yandex.net/i?id=81757a71cd5a7900195f351cbb06b842-4034191-images-thumbs&amp;n=13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Klochkova_KA</cp:lastModifiedBy>
  <cp:revision>9</cp:revision>
  <cp:lastPrinted>2023-02-08T08:48:00Z</cp:lastPrinted>
  <dcterms:created xsi:type="dcterms:W3CDTF">2023-02-08T08:40:00Z</dcterms:created>
  <dcterms:modified xsi:type="dcterms:W3CDTF">2024-02-15T06:52:00Z</dcterms:modified>
</cp:coreProperties>
</file>